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B5E" w:rsidRPr="004953A1" w:rsidRDefault="00B32B5E" w:rsidP="00B32B5E">
      <w:pPr>
        <w:pStyle w:val="1"/>
        <w:widowControl w:val="0"/>
        <w:spacing w:before="468" w:after="312"/>
        <w:rPr>
          <w:rFonts w:ascii="Times New Roman" w:hAnsi="Times New Roman"/>
          <w:sz w:val="44"/>
          <w:szCs w:val="44"/>
        </w:rPr>
      </w:pPr>
      <w:bookmarkStart w:id="0" w:name="_Toc4421"/>
      <w:bookmarkStart w:id="1" w:name="_Toc453928046"/>
      <w:bookmarkStart w:id="2" w:name="_Toc459393972"/>
      <w:r w:rsidRPr="004953A1">
        <w:rPr>
          <w:rFonts w:ascii="Times New Roman" w:hAnsi="Times New Roman"/>
          <w:sz w:val="44"/>
          <w:szCs w:val="44"/>
        </w:rPr>
        <w:t>西北农林科技大学与科研机构</w:t>
      </w:r>
      <w:bookmarkEnd w:id="2"/>
    </w:p>
    <w:p w:rsidR="00B32B5E" w:rsidRPr="004953A1" w:rsidRDefault="00B32B5E" w:rsidP="00B32B5E">
      <w:pPr>
        <w:pStyle w:val="1"/>
        <w:widowControl w:val="0"/>
        <w:spacing w:before="468" w:after="312"/>
        <w:ind w:leftChars="200" w:left="420" w:rightChars="200" w:right="420"/>
        <w:rPr>
          <w:rFonts w:ascii="Times New Roman" w:hAnsi="Times New Roman"/>
          <w:sz w:val="44"/>
          <w:szCs w:val="44"/>
        </w:rPr>
      </w:pPr>
      <w:bookmarkStart w:id="3" w:name="_Toc459393973"/>
      <w:bookmarkStart w:id="4" w:name="_GoBack"/>
      <w:r w:rsidRPr="004953A1">
        <w:rPr>
          <w:rFonts w:ascii="Times New Roman" w:hAnsi="Times New Roman"/>
          <w:sz w:val="44"/>
          <w:szCs w:val="44"/>
        </w:rPr>
        <w:t>联合培养博士研究生专项计划实施方案</w:t>
      </w:r>
      <w:bookmarkEnd w:id="0"/>
      <w:bookmarkEnd w:id="1"/>
      <w:bookmarkEnd w:id="3"/>
      <w:bookmarkEnd w:id="4"/>
    </w:p>
    <w:p w:rsidR="00B32B5E" w:rsidRPr="004953A1" w:rsidRDefault="00B32B5E" w:rsidP="00B32B5E">
      <w:pPr>
        <w:pStyle w:val="21"/>
        <w:spacing w:beforeLines="150" w:before="468" w:afterLines="150" w:after="468"/>
        <w:rPr>
          <w:rFonts w:ascii="Times New Roman" w:hAnsi="Times New Roman" w:cs="Times New Roman"/>
        </w:rPr>
      </w:pPr>
      <w:bookmarkStart w:id="5" w:name="_Toc453928047"/>
      <w:bookmarkStart w:id="6" w:name="_Toc432410499"/>
      <w:bookmarkStart w:id="7" w:name="_Toc459393974"/>
      <w:r w:rsidRPr="004953A1">
        <w:rPr>
          <w:rFonts w:ascii="Times New Roman" w:eastAsia="仿宋_GB2312" w:hAnsi="Times New Roman" w:cs="Times New Roman"/>
          <w:sz w:val="30"/>
          <w:szCs w:val="30"/>
        </w:rPr>
        <w:t>校研发〔</w:t>
      </w:r>
      <w:r w:rsidRPr="004953A1">
        <w:rPr>
          <w:rFonts w:ascii="Times New Roman" w:hAnsi="Times New Roman" w:cs="Times New Roman"/>
        </w:rPr>
        <w:t>2015</w:t>
      </w:r>
      <w:r w:rsidRPr="004953A1">
        <w:rPr>
          <w:rFonts w:ascii="Times New Roman" w:eastAsia="仿宋_GB2312" w:hAnsi="Times New Roman" w:cs="Times New Roman"/>
          <w:sz w:val="30"/>
          <w:szCs w:val="30"/>
        </w:rPr>
        <w:t>〕</w:t>
      </w:r>
      <w:r w:rsidRPr="004953A1">
        <w:rPr>
          <w:rFonts w:ascii="Times New Roman" w:hAnsi="Times New Roman" w:cs="Times New Roman"/>
        </w:rPr>
        <w:t>288</w:t>
      </w:r>
      <w:r w:rsidRPr="004953A1">
        <w:rPr>
          <w:rFonts w:ascii="Times New Roman" w:eastAsia="仿宋_GB2312" w:hAnsi="Times New Roman" w:cs="Times New Roman"/>
          <w:sz w:val="30"/>
          <w:szCs w:val="30"/>
        </w:rPr>
        <w:t>号</w:t>
      </w:r>
      <w:bookmarkEnd w:id="5"/>
      <w:bookmarkEnd w:id="6"/>
      <w:bookmarkEnd w:id="7"/>
    </w:p>
    <w:p w:rsidR="00B32B5E" w:rsidRPr="004953A1" w:rsidRDefault="00B32B5E" w:rsidP="00B32B5E">
      <w:pPr>
        <w:spacing w:line="560" w:lineRule="exact"/>
        <w:ind w:firstLineChars="200" w:firstLine="600"/>
        <w:rPr>
          <w:rFonts w:eastAsia="Times New Roman"/>
          <w:color w:val="000000"/>
          <w:kern w:val="0"/>
          <w:sz w:val="30"/>
          <w:szCs w:val="30"/>
        </w:rPr>
      </w:pPr>
      <w:r w:rsidRPr="004953A1">
        <w:rPr>
          <w:color w:val="000000"/>
          <w:kern w:val="0"/>
          <w:sz w:val="30"/>
          <w:szCs w:val="30"/>
        </w:rPr>
        <w:t>为做好我校与科研机构联合培养博士研究生（专项计划）工作，探索博士研究生培养新机制，提高博士研究生培养质量，根据教育部《高等学校和科研机构开展联合培养博士研究生工作暂行办法》（教研〔</w:t>
      </w:r>
      <w:r w:rsidRPr="004953A1">
        <w:rPr>
          <w:rFonts w:eastAsia="Times New Roman"/>
          <w:color w:val="000000"/>
          <w:kern w:val="0"/>
          <w:sz w:val="30"/>
          <w:szCs w:val="30"/>
        </w:rPr>
        <w:t>2009</w:t>
      </w:r>
      <w:r w:rsidRPr="004953A1">
        <w:rPr>
          <w:color w:val="000000"/>
          <w:kern w:val="0"/>
          <w:sz w:val="30"/>
          <w:szCs w:val="30"/>
        </w:rPr>
        <w:t>〕</w:t>
      </w:r>
      <w:r w:rsidRPr="004953A1">
        <w:rPr>
          <w:rFonts w:eastAsia="Times New Roman"/>
          <w:color w:val="000000"/>
          <w:kern w:val="0"/>
          <w:sz w:val="30"/>
          <w:szCs w:val="30"/>
        </w:rPr>
        <w:t>5</w:t>
      </w:r>
      <w:r w:rsidRPr="004953A1">
        <w:rPr>
          <w:color w:val="000000"/>
          <w:kern w:val="0"/>
          <w:sz w:val="30"/>
          <w:szCs w:val="30"/>
        </w:rPr>
        <w:t>号）精神，特制定本方案。</w:t>
      </w:r>
    </w:p>
    <w:p w:rsidR="00B32B5E" w:rsidRPr="004953A1" w:rsidRDefault="00B32B5E" w:rsidP="00B32B5E">
      <w:pPr>
        <w:pStyle w:val="3"/>
        <w:keepLines w:val="0"/>
        <w:spacing w:before="156" w:after="156"/>
        <w:ind w:firstLineChars="192" w:firstLine="614"/>
        <w:rPr>
          <w:rFonts w:eastAsia="黑体"/>
          <w:b w:val="0"/>
          <w:color w:val="000000"/>
        </w:rPr>
      </w:pPr>
      <w:r w:rsidRPr="004953A1">
        <w:rPr>
          <w:rFonts w:eastAsia="黑体"/>
          <w:b w:val="0"/>
          <w:color w:val="000000"/>
        </w:rPr>
        <w:t>一、科研机构遴选</w:t>
      </w:r>
    </w:p>
    <w:p w:rsidR="00B32B5E" w:rsidRPr="004953A1" w:rsidRDefault="00B32B5E" w:rsidP="00B32B5E">
      <w:pPr>
        <w:spacing w:line="560" w:lineRule="exact"/>
        <w:ind w:firstLineChars="200" w:firstLine="600"/>
        <w:rPr>
          <w:rFonts w:eastAsia="Times New Roman"/>
          <w:color w:val="000000"/>
          <w:kern w:val="0"/>
          <w:sz w:val="30"/>
          <w:szCs w:val="30"/>
        </w:rPr>
      </w:pPr>
      <w:r w:rsidRPr="004953A1">
        <w:rPr>
          <w:color w:val="000000"/>
          <w:kern w:val="0"/>
          <w:sz w:val="30"/>
          <w:szCs w:val="30"/>
        </w:rPr>
        <w:t>应为具有较高的学位与研究生教育管理水平，承担国家重点科研任务的国家级科研机构。</w:t>
      </w:r>
    </w:p>
    <w:p w:rsidR="00B32B5E" w:rsidRPr="004953A1" w:rsidRDefault="00B32B5E" w:rsidP="00B32B5E">
      <w:pPr>
        <w:pStyle w:val="3"/>
        <w:keepLines w:val="0"/>
        <w:spacing w:before="156" w:after="156"/>
        <w:ind w:firstLineChars="192" w:firstLine="614"/>
        <w:rPr>
          <w:rFonts w:eastAsia="黑体"/>
          <w:b w:val="0"/>
          <w:color w:val="000000"/>
        </w:rPr>
      </w:pPr>
      <w:r w:rsidRPr="004953A1">
        <w:rPr>
          <w:rFonts w:eastAsia="黑体"/>
          <w:b w:val="0"/>
          <w:color w:val="000000"/>
        </w:rPr>
        <w:t>二、招生工作</w:t>
      </w:r>
    </w:p>
    <w:p w:rsidR="00B32B5E" w:rsidRPr="004953A1" w:rsidRDefault="00B32B5E" w:rsidP="00B32B5E">
      <w:pPr>
        <w:spacing w:line="560" w:lineRule="exact"/>
        <w:ind w:firstLineChars="200" w:firstLine="600"/>
        <w:rPr>
          <w:rFonts w:eastAsia="Times New Roman"/>
          <w:color w:val="000000"/>
          <w:kern w:val="0"/>
          <w:sz w:val="30"/>
          <w:szCs w:val="30"/>
        </w:rPr>
      </w:pPr>
      <w:r w:rsidRPr="004953A1">
        <w:rPr>
          <w:color w:val="000000"/>
          <w:kern w:val="0"/>
          <w:sz w:val="30"/>
          <w:szCs w:val="30"/>
        </w:rPr>
        <w:t>联合培养博士研究生实行</w:t>
      </w:r>
      <w:r w:rsidRPr="004953A1">
        <w:rPr>
          <w:rFonts w:eastAsia="Times New Roman"/>
          <w:color w:val="000000"/>
          <w:kern w:val="0"/>
          <w:sz w:val="30"/>
          <w:szCs w:val="30"/>
        </w:rPr>
        <w:t>“</w:t>
      </w:r>
      <w:r w:rsidRPr="004953A1">
        <w:rPr>
          <w:color w:val="000000"/>
          <w:kern w:val="0"/>
          <w:sz w:val="30"/>
          <w:szCs w:val="30"/>
        </w:rPr>
        <w:t>双导师制</w:t>
      </w:r>
      <w:r w:rsidRPr="004953A1">
        <w:rPr>
          <w:rFonts w:eastAsia="Times New Roman"/>
          <w:color w:val="000000"/>
          <w:kern w:val="0"/>
          <w:sz w:val="30"/>
          <w:szCs w:val="30"/>
        </w:rPr>
        <w:t>”</w:t>
      </w:r>
      <w:r w:rsidRPr="004953A1">
        <w:rPr>
          <w:color w:val="000000"/>
          <w:kern w:val="0"/>
          <w:sz w:val="30"/>
          <w:szCs w:val="30"/>
        </w:rPr>
        <w:t>。双方根据教育部当年下达的联合培养博士研究生招生年度专项计划，协商确定招生学科及专业、第一指导教师及双方招生名额。招生录取工作由第一导师单位组织实施。</w:t>
      </w:r>
    </w:p>
    <w:p w:rsidR="00B32B5E" w:rsidRPr="004953A1" w:rsidRDefault="00B32B5E" w:rsidP="00B32B5E">
      <w:pPr>
        <w:pStyle w:val="3"/>
        <w:keepLines w:val="0"/>
        <w:spacing w:before="156" w:after="156"/>
        <w:ind w:firstLineChars="192" w:firstLine="614"/>
        <w:rPr>
          <w:rFonts w:eastAsia="黑体"/>
          <w:b w:val="0"/>
          <w:color w:val="000000"/>
        </w:rPr>
      </w:pPr>
      <w:r w:rsidRPr="004953A1">
        <w:rPr>
          <w:rFonts w:eastAsia="黑体"/>
          <w:b w:val="0"/>
          <w:color w:val="000000"/>
        </w:rPr>
        <w:t>三、培养工作</w:t>
      </w:r>
    </w:p>
    <w:p w:rsidR="00B32B5E" w:rsidRPr="004953A1" w:rsidRDefault="00B32B5E" w:rsidP="00B32B5E">
      <w:pPr>
        <w:spacing w:line="560" w:lineRule="exact"/>
        <w:ind w:firstLineChars="200" w:firstLine="600"/>
        <w:rPr>
          <w:rFonts w:eastAsia="Times New Roman"/>
          <w:color w:val="000000"/>
          <w:kern w:val="0"/>
          <w:sz w:val="30"/>
          <w:szCs w:val="30"/>
        </w:rPr>
      </w:pPr>
      <w:r w:rsidRPr="004953A1">
        <w:rPr>
          <w:rFonts w:eastAsia="Times New Roman"/>
          <w:color w:val="000000"/>
          <w:kern w:val="0"/>
          <w:sz w:val="30"/>
          <w:szCs w:val="30"/>
        </w:rPr>
        <w:t>1.</w:t>
      </w:r>
      <w:r w:rsidRPr="004953A1">
        <w:rPr>
          <w:color w:val="000000"/>
          <w:kern w:val="0"/>
          <w:sz w:val="30"/>
          <w:szCs w:val="30"/>
        </w:rPr>
        <w:t>联合培养博士研究生须在联合培养单位双方办理入学报到注册手续，取得学籍，纳入双方研究生培养管理系统。</w:t>
      </w:r>
    </w:p>
    <w:p w:rsidR="00B32B5E" w:rsidRPr="004953A1" w:rsidRDefault="00B32B5E" w:rsidP="00B32B5E">
      <w:pPr>
        <w:spacing w:line="560" w:lineRule="exact"/>
        <w:ind w:firstLineChars="200" w:firstLine="600"/>
        <w:rPr>
          <w:rFonts w:eastAsia="Times New Roman"/>
          <w:color w:val="000000"/>
          <w:kern w:val="0"/>
          <w:sz w:val="30"/>
          <w:szCs w:val="30"/>
        </w:rPr>
      </w:pPr>
      <w:r w:rsidRPr="004953A1">
        <w:rPr>
          <w:rFonts w:eastAsia="Times New Roman"/>
          <w:color w:val="000000"/>
          <w:kern w:val="0"/>
          <w:sz w:val="30"/>
          <w:szCs w:val="30"/>
        </w:rPr>
        <w:t>2.</w:t>
      </w:r>
      <w:r w:rsidRPr="004953A1">
        <w:rPr>
          <w:color w:val="000000"/>
          <w:kern w:val="0"/>
          <w:sz w:val="30"/>
          <w:szCs w:val="30"/>
        </w:rPr>
        <w:t>导师组统筹双方资源、优势，兼收双方同类学科培养方案的</w:t>
      </w:r>
      <w:r w:rsidRPr="004953A1">
        <w:rPr>
          <w:color w:val="000000"/>
          <w:kern w:val="0"/>
          <w:sz w:val="30"/>
          <w:szCs w:val="30"/>
        </w:rPr>
        <w:lastRenderedPageBreak/>
        <w:t>规范要求和特色，制订具体培养方案和计划，报双方单位学位评定分委员会备案</w:t>
      </w:r>
      <w:r w:rsidRPr="004953A1">
        <w:rPr>
          <w:rFonts w:eastAsia="Times New Roman"/>
          <w:color w:val="000000"/>
          <w:kern w:val="0"/>
          <w:sz w:val="30"/>
          <w:szCs w:val="30"/>
        </w:rPr>
        <w:t>,</w:t>
      </w:r>
      <w:r w:rsidRPr="004953A1">
        <w:rPr>
          <w:color w:val="000000"/>
          <w:kern w:val="0"/>
          <w:sz w:val="30"/>
          <w:szCs w:val="30"/>
        </w:rPr>
        <w:t>培养方案中各环节的考核要求不能低于西北农林科技大学的最低标准。</w:t>
      </w:r>
    </w:p>
    <w:p w:rsidR="00B32B5E" w:rsidRPr="004953A1" w:rsidRDefault="00B32B5E" w:rsidP="00B32B5E">
      <w:pPr>
        <w:spacing w:line="560" w:lineRule="exact"/>
        <w:ind w:firstLineChars="200" w:firstLine="600"/>
        <w:rPr>
          <w:rFonts w:eastAsia="Times New Roman"/>
          <w:color w:val="000000"/>
          <w:kern w:val="0"/>
          <w:sz w:val="30"/>
          <w:szCs w:val="30"/>
        </w:rPr>
      </w:pPr>
      <w:r w:rsidRPr="004953A1">
        <w:rPr>
          <w:rFonts w:eastAsia="Times New Roman"/>
          <w:color w:val="000000"/>
          <w:kern w:val="0"/>
          <w:sz w:val="30"/>
          <w:szCs w:val="30"/>
        </w:rPr>
        <w:t>3.</w:t>
      </w:r>
      <w:r w:rsidRPr="004953A1">
        <w:rPr>
          <w:color w:val="000000"/>
          <w:kern w:val="0"/>
          <w:sz w:val="30"/>
          <w:szCs w:val="30"/>
        </w:rPr>
        <w:t>联合培养博士研究生的课程学习由西北农林科技大学负责实施，其他培养环节由第一导师单位负责实施。</w:t>
      </w:r>
    </w:p>
    <w:p w:rsidR="00B32B5E" w:rsidRPr="004953A1" w:rsidRDefault="00B32B5E" w:rsidP="00B32B5E">
      <w:pPr>
        <w:pStyle w:val="3"/>
        <w:keepLines w:val="0"/>
        <w:spacing w:before="156" w:after="156"/>
        <w:ind w:firstLineChars="192" w:firstLine="614"/>
        <w:rPr>
          <w:rFonts w:eastAsia="黑体"/>
          <w:b w:val="0"/>
          <w:color w:val="000000"/>
        </w:rPr>
      </w:pPr>
      <w:r w:rsidRPr="004953A1">
        <w:rPr>
          <w:rFonts w:eastAsia="黑体"/>
          <w:b w:val="0"/>
          <w:color w:val="000000"/>
        </w:rPr>
        <w:t>四、答辩与学位授予</w:t>
      </w:r>
    </w:p>
    <w:p w:rsidR="00B32B5E" w:rsidRPr="004953A1" w:rsidRDefault="00B32B5E" w:rsidP="00B32B5E">
      <w:pPr>
        <w:spacing w:line="560" w:lineRule="exact"/>
        <w:ind w:firstLineChars="200" w:firstLine="600"/>
        <w:rPr>
          <w:rFonts w:eastAsia="Times New Roman"/>
          <w:color w:val="000000"/>
          <w:kern w:val="0"/>
          <w:sz w:val="30"/>
          <w:szCs w:val="30"/>
        </w:rPr>
      </w:pPr>
      <w:r w:rsidRPr="004953A1">
        <w:rPr>
          <w:rFonts w:eastAsia="Times New Roman"/>
          <w:color w:val="000000"/>
          <w:kern w:val="0"/>
          <w:sz w:val="30"/>
          <w:szCs w:val="30"/>
        </w:rPr>
        <w:t>1</w:t>
      </w:r>
      <w:r w:rsidRPr="004953A1">
        <w:rPr>
          <w:color w:val="000000"/>
          <w:kern w:val="0"/>
          <w:sz w:val="30"/>
          <w:szCs w:val="30"/>
        </w:rPr>
        <w:t>．联合培养博士研究生的学位论文答辩由双方导师共同负责，学位论文撰写、双盲评审、学术水平评价等由第一导师单位组织实施。</w:t>
      </w:r>
    </w:p>
    <w:p w:rsidR="00B32B5E" w:rsidRPr="004953A1" w:rsidRDefault="00B32B5E" w:rsidP="00B32B5E">
      <w:pPr>
        <w:spacing w:line="560" w:lineRule="exact"/>
        <w:ind w:firstLineChars="200" w:firstLine="600"/>
        <w:rPr>
          <w:rFonts w:eastAsia="Times New Roman"/>
          <w:color w:val="000000"/>
          <w:kern w:val="0"/>
          <w:sz w:val="30"/>
          <w:szCs w:val="30"/>
        </w:rPr>
      </w:pPr>
      <w:r w:rsidRPr="004953A1">
        <w:rPr>
          <w:rFonts w:eastAsia="Times New Roman"/>
          <w:color w:val="000000"/>
          <w:kern w:val="0"/>
          <w:sz w:val="30"/>
          <w:szCs w:val="30"/>
        </w:rPr>
        <w:t>2</w:t>
      </w:r>
      <w:r w:rsidRPr="004953A1">
        <w:rPr>
          <w:color w:val="000000"/>
          <w:kern w:val="0"/>
          <w:sz w:val="30"/>
          <w:szCs w:val="30"/>
        </w:rPr>
        <w:t>．学位申请与授予工作由西北农林科技大学负责。对完成培养方案规定的培养环节且考核合格，学位论文水平和发表论文的学术要求达到西北农林科技大学博士学位授予要求者，授予博士学位。</w:t>
      </w:r>
    </w:p>
    <w:p w:rsidR="00B32B5E" w:rsidRPr="004953A1" w:rsidRDefault="00B32B5E" w:rsidP="00B32B5E">
      <w:pPr>
        <w:spacing w:line="560" w:lineRule="exact"/>
        <w:ind w:firstLineChars="200" w:firstLine="600"/>
        <w:rPr>
          <w:rFonts w:eastAsia="Times New Roman"/>
          <w:color w:val="000000"/>
          <w:kern w:val="0"/>
          <w:sz w:val="30"/>
          <w:szCs w:val="30"/>
        </w:rPr>
      </w:pPr>
      <w:r w:rsidRPr="004953A1">
        <w:rPr>
          <w:rFonts w:eastAsia="Times New Roman"/>
          <w:color w:val="000000"/>
          <w:kern w:val="0"/>
          <w:sz w:val="30"/>
          <w:szCs w:val="30"/>
        </w:rPr>
        <w:t>3</w:t>
      </w:r>
      <w:r w:rsidRPr="004953A1">
        <w:rPr>
          <w:color w:val="000000"/>
          <w:kern w:val="0"/>
          <w:sz w:val="30"/>
          <w:szCs w:val="30"/>
        </w:rPr>
        <w:t>．联合培养博士研究生在导师组共同指导下取得的学术成果，其知识产权原则上由双方共享。发表学术论文（著作）、申请专利、申报奖项等可实行双署名制，第一导师及第一导师单位署名靠前。</w:t>
      </w:r>
    </w:p>
    <w:p w:rsidR="00B32B5E" w:rsidRPr="004953A1" w:rsidRDefault="00B32B5E" w:rsidP="00B32B5E">
      <w:pPr>
        <w:pStyle w:val="3"/>
        <w:keepLines w:val="0"/>
        <w:spacing w:before="156" w:after="156"/>
        <w:ind w:firstLineChars="192" w:firstLine="614"/>
        <w:rPr>
          <w:rFonts w:eastAsia="黑体"/>
          <w:b w:val="0"/>
          <w:color w:val="000000"/>
        </w:rPr>
      </w:pPr>
      <w:r w:rsidRPr="004953A1">
        <w:rPr>
          <w:rFonts w:eastAsia="黑体"/>
          <w:b w:val="0"/>
          <w:color w:val="000000"/>
        </w:rPr>
        <w:t>五、管理工作</w:t>
      </w:r>
    </w:p>
    <w:p w:rsidR="00B32B5E" w:rsidRPr="004953A1" w:rsidRDefault="00B32B5E" w:rsidP="00B32B5E">
      <w:pPr>
        <w:spacing w:line="560" w:lineRule="exact"/>
        <w:ind w:firstLineChars="200" w:firstLine="600"/>
        <w:rPr>
          <w:rFonts w:eastAsia="Times New Roman"/>
          <w:color w:val="000000"/>
          <w:kern w:val="0"/>
          <w:sz w:val="30"/>
          <w:szCs w:val="30"/>
        </w:rPr>
      </w:pPr>
      <w:r w:rsidRPr="004953A1">
        <w:rPr>
          <w:color w:val="000000"/>
          <w:kern w:val="0"/>
          <w:sz w:val="30"/>
          <w:szCs w:val="30"/>
        </w:rPr>
        <w:t>联合培养博士研究生实施双重管理，日常管理由第一导师单位负责。</w:t>
      </w:r>
    </w:p>
    <w:p w:rsidR="00B32B5E" w:rsidRPr="004953A1" w:rsidRDefault="00B32B5E" w:rsidP="00B32B5E">
      <w:pPr>
        <w:pStyle w:val="3"/>
        <w:keepLines w:val="0"/>
        <w:spacing w:before="156" w:after="156"/>
        <w:ind w:firstLineChars="192" w:firstLine="614"/>
        <w:rPr>
          <w:rFonts w:eastAsia="黑体"/>
          <w:b w:val="0"/>
          <w:color w:val="000000"/>
        </w:rPr>
      </w:pPr>
      <w:r w:rsidRPr="004953A1">
        <w:rPr>
          <w:rFonts w:eastAsia="黑体"/>
          <w:b w:val="0"/>
          <w:color w:val="000000"/>
        </w:rPr>
        <w:t>六、其他</w:t>
      </w:r>
    </w:p>
    <w:p w:rsidR="00B32B5E" w:rsidRPr="004953A1" w:rsidRDefault="00B32B5E" w:rsidP="00B32B5E">
      <w:pPr>
        <w:spacing w:line="560" w:lineRule="exact"/>
        <w:ind w:firstLineChars="200" w:firstLine="600"/>
        <w:rPr>
          <w:rFonts w:eastAsia="Times New Roman"/>
          <w:color w:val="000000"/>
          <w:kern w:val="0"/>
          <w:sz w:val="30"/>
          <w:szCs w:val="30"/>
        </w:rPr>
      </w:pPr>
      <w:r w:rsidRPr="004953A1">
        <w:rPr>
          <w:color w:val="000000"/>
          <w:kern w:val="0"/>
          <w:sz w:val="30"/>
          <w:szCs w:val="30"/>
        </w:rPr>
        <w:t>本实施方案自</w:t>
      </w:r>
      <w:r w:rsidRPr="004953A1">
        <w:rPr>
          <w:rFonts w:eastAsia="Times New Roman"/>
          <w:color w:val="000000"/>
          <w:kern w:val="0"/>
          <w:sz w:val="30"/>
          <w:szCs w:val="30"/>
        </w:rPr>
        <w:t>2015</w:t>
      </w:r>
      <w:r w:rsidRPr="004953A1">
        <w:rPr>
          <w:color w:val="000000"/>
          <w:kern w:val="0"/>
          <w:sz w:val="30"/>
          <w:szCs w:val="30"/>
        </w:rPr>
        <w:t>年博士研究生招生起实施，由研究生院负责解释。</w:t>
      </w:r>
    </w:p>
    <w:p w:rsidR="001F3D81" w:rsidRPr="00B32B5E" w:rsidRDefault="001F3D81"/>
    <w:sectPr w:rsidR="001F3D81" w:rsidRPr="00B32B5E" w:rsidSect="00B32B5E">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5E"/>
    <w:rsid w:val="0003270B"/>
    <w:rsid w:val="000D410F"/>
    <w:rsid w:val="000F7964"/>
    <w:rsid w:val="00143ACA"/>
    <w:rsid w:val="00176BAD"/>
    <w:rsid w:val="001E05AE"/>
    <w:rsid w:val="001F3D81"/>
    <w:rsid w:val="00311D32"/>
    <w:rsid w:val="003758BA"/>
    <w:rsid w:val="003F13C0"/>
    <w:rsid w:val="00413AFC"/>
    <w:rsid w:val="004441D1"/>
    <w:rsid w:val="00490A83"/>
    <w:rsid w:val="004A6E0B"/>
    <w:rsid w:val="004C1CEF"/>
    <w:rsid w:val="004F354E"/>
    <w:rsid w:val="00591DF7"/>
    <w:rsid w:val="005D2EE1"/>
    <w:rsid w:val="005E64A3"/>
    <w:rsid w:val="00604FA1"/>
    <w:rsid w:val="00672B68"/>
    <w:rsid w:val="006853D2"/>
    <w:rsid w:val="00707268"/>
    <w:rsid w:val="00767B45"/>
    <w:rsid w:val="007A5B96"/>
    <w:rsid w:val="00847014"/>
    <w:rsid w:val="008A5BE4"/>
    <w:rsid w:val="008B4FCA"/>
    <w:rsid w:val="0092099C"/>
    <w:rsid w:val="009D2EDC"/>
    <w:rsid w:val="00A118A4"/>
    <w:rsid w:val="00AF63BC"/>
    <w:rsid w:val="00B32B5E"/>
    <w:rsid w:val="00B40C16"/>
    <w:rsid w:val="00BB4341"/>
    <w:rsid w:val="00BC6252"/>
    <w:rsid w:val="00BE0DE1"/>
    <w:rsid w:val="00BE68CC"/>
    <w:rsid w:val="00C059C0"/>
    <w:rsid w:val="00C54904"/>
    <w:rsid w:val="00C77A59"/>
    <w:rsid w:val="00CD74F1"/>
    <w:rsid w:val="00D21959"/>
    <w:rsid w:val="00D47BE7"/>
    <w:rsid w:val="00D73615"/>
    <w:rsid w:val="00D93A9E"/>
    <w:rsid w:val="00E0209D"/>
    <w:rsid w:val="00E11459"/>
    <w:rsid w:val="00E46750"/>
    <w:rsid w:val="00EA1ACD"/>
    <w:rsid w:val="00F200D0"/>
    <w:rsid w:val="00F61339"/>
    <w:rsid w:val="00FB4F3A"/>
    <w:rsid w:val="00FC206A"/>
    <w:rsid w:val="00FF7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B5E"/>
    <w:pPr>
      <w:widowControl w:val="0"/>
      <w:jc w:val="both"/>
    </w:pPr>
    <w:rPr>
      <w:rFonts w:ascii="Times New Roman" w:eastAsia="宋体" w:hAnsi="Times New Roman" w:cs="Times New Roman"/>
    </w:rPr>
  </w:style>
  <w:style w:type="paragraph" w:styleId="1">
    <w:name w:val="heading 1"/>
    <w:basedOn w:val="a"/>
    <w:next w:val="a"/>
    <w:link w:val="1Char"/>
    <w:uiPriority w:val="99"/>
    <w:qFormat/>
    <w:rsid w:val="00B32B5E"/>
    <w:pPr>
      <w:widowControl/>
      <w:spacing w:beforeLines="150" w:afterLines="100" w:line="560" w:lineRule="exact"/>
      <w:jc w:val="center"/>
      <w:outlineLvl w:val="0"/>
    </w:pPr>
    <w:rPr>
      <w:rFonts w:ascii="宋体" w:eastAsia="黑体" w:hAnsi="宋体"/>
      <w:b/>
      <w:bCs/>
      <w:kern w:val="36"/>
      <w:sz w:val="48"/>
      <w:szCs w:val="48"/>
    </w:rPr>
  </w:style>
  <w:style w:type="paragraph" w:styleId="2">
    <w:name w:val="heading 2"/>
    <w:basedOn w:val="a"/>
    <w:next w:val="a"/>
    <w:link w:val="2Char"/>
    <w:uiPriority w:val="9"/>
    <w:semiHidden/>
    <w:unhideWhenUsed/>
    <w:qFormat/>
    <w:rsid w:val="00B32B5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qFormat/>
    <w:rsid w:val="00B32B5E"/>
    <w:pPr>
      <w:keepNext/>
      <w:keepLines/>
      <w:spacing w:beforeLines="50" w:afterLines="50" w:line="560" w:lineRule="exact"/>
      <w:ind w:firstLineChars="200" w:firstLine="200"/>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B32B5E"/>
    <w:rPr>
      <w:rFonts w:ascii="宋体" w:eastAsia="黑体" w:hAnsi="宋体" w:cs="Times New Roman"/>
      <w:b/>
      <w:bCs/>
      <w:kern w:val="36"/>
      <w:sz w:val="48"/>
      <w:szCs w:val="48"/>
    </w:rPr>
  </w:style>
  <w:style w:type="character" w:customStyle="1" w:styleId="3Char">
    <w:name w:val="标题 3 Char"/>
    <w:basedOn w:val="a0"/>
    <w:link w:val="3"/>
    <w:uiPriority w:val="99"/>
    <w:rsid w:val="00B32B5E"/>
    <w:rPr>
      <w:rFonts w:ascii="Times New Roman" w:eastAsia="宋体" w:hAnsi="Times New Roman" w:cs="Times New Roman"/>
      <w:b/>
      <w:bCs/>
      <w:kern w:val="0"/>
      <w:sz w:val="32"/>
      <w:szCs w:val="32"/>
    </w:rPr>
  </w:style>
  <w:style w:type="paragraph" w:customStyle="1" w:styleId="21">
    <w:name w:val="样式 标题 2 + 段后: 1 行"/>
    <w:basedOn w:val="2"/>
    <w:uiPriority w:val="99"/>
    <w:rsid w:val="00B32B5E"/>
    <w:pPr>
      <w:spacing w:beforeLines="100" w:before="0" w:afterLines="200" w:after="0" w:line="560" w:lineRule="exact"/>
      <w:jc w:val="center"/>
    </w:pPr>
    <w:rPr>
      <w:rFonts w:ascii="Cambria" w:eastAsia="宋体" w:hAnsi="Cambria" w:cs="宋体"/>
      <w:kern w:val="0"/>
      <w:szCs w:val="20"/>
    </w:rPr>
  </w:style>
  <w:style w:type="character" w:customStyle="1" w:styleId="2Char">
    <w:name w:val="标题 2 Char"/>
    <w:basedOn w:val="a0"/>
    <w:link w:val="2"/>
    <w:uiPriority w:val="9"/>
    <w:semiHidden/>
    <w:rsid w:val="00B32B5E"/>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B5E"/>
    <w:pPr>
      <w:widowControl w:val="0"/>
      <w:jc w:val="both"/>
    </w:pPr>
    <w:rPr>
      <w:rFonts w:ascii="Times New Roman" w:eastAsia="宋体" w:hAnsi="Times New Roman" w:cs="Times New Roman"/>
    </w:rPr>
  </w:style>
  <w:style w:type="paragraph" w:styleId="1">
    <w:name w:val="heading 1"/>
    <w:basedOn w:val="a"/>
    <w:next w:val="a"/>
    <w:link w:val="1Char"/>
    <w:uiPriority w:val="99"/>
    <w:qFormat/>
    <w:rsid w:val="00B32B5E"/>
    <w:pPr>
      <w:widowControl/>
      <w:spacing w:beforeLines="150" w:afterLines="100" w:line="560" w:lineRule="exact"/>
      <w:jc w:val="center"/>
      <w:outlineLvl w:val="0"/>
    </w:pPr>
    <w:rPr>
      <w:rFonts w:ascii="宋体" w:eastAsia="黑体" w:hAnsi="宋体"/>
      <w:b/>
      <w:bCs/>
      <w:kern w:val="36"/>
      <w:sz w:val="48"/>
      <w:szCs w:val="48"/>
    </w:rPr>
  </w:style>
  <w:style w:type="paragraph" w:styleId="2">
    <w:name w:val="heading 2"/>
    <w:basedOn w:val="a"/>
    <w:next w:val="a"/>
    <w:link w:val="2Char"/>
    <w:uiPriority w:val="9"/>
    <w:semiHidden/>
    <w:unhideWhenUsed/>
    <w:qFormat/>
    <w:rsid w:val="00B32B5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qFormat/>
    <w:rsid w:val="00B32B5E"/>
    <w:pPr>
      <w:keepNext/>
      <w:keepLines/>
      <w:spacing w:beforeLines="50" w:afterLines="50" w:line="560" w:lineRule="exact"/>
      <w:ind w:firstLineChars="200" w:firstLine="200"/>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B32B5E"/>
    <w:rPr>
      <w:rFonts w:ascii="宋体" w:eastAsia="黑体" w:hAnsi="宋体" w:cs="Times New Roman"/>
      <w:b/>
      <w:bCs/>
      <w:kern w:val="36"/>
      <w:sz w:val="48"/>
      <w:szCs w:val="48"/>
    </w:rPr>
  </w:style>
  <w:style w:type="character" w:customStyle="1" w:styleId="3Char">
    <w:name w:val="标题 3 Char"/>
    <w:basedOn w:val="a0"/>
    <w:link w:val="3"/>
    <w:uiPriority w:val="99"/>
    <w:rsid w:val="00B32B5E"/>
    <w:rPr>
      <w:rFonts w:ascii="Times New Roman" w:eastAsia="宋体" w:hAnsi="Times New Roman" w:cs="Times New Roman"/>
      <w:b/>
      <w:bCs/>
      <w:kern w:val="0"/>
      <w:sz w:val="32"/>
      <w:szCs w:val="32"/>
    </w:rPr>
  </w:style>
  <w:style w:type="paragraph" w:customStyle="1" w:styleId="21">
    <w:name w:val="样式 标题 2 + 段后: 1 行"/>
    <w:basedOn w:val="2"/>
    <w:uiPriority w:val="99"/>
    <w:rsid w:val="00B32B5E"/>
    <w:pPr>
      <w:spacing w:beforeLines="100" w:before="0" w:afterLines="200" w:after="0" w:line="560" w:lineRule="exact"/>
      <w:jc w:val="center"/>
    </w:pPr>
    <w:rPr>
      <w:rFonts w:ascii="Cambria" w:eastAsia="宋体" w:hAnsi="Cambria" w:cs="宋体"/>
      <w:kern w:val="0"/>
      <w:szCs w:val="20"/>
    </w:rPr>
  </w:style>
  <w:style w:type="character" w:customStyle="1" w:styleId="2Char">
    <w:name w:val="标题 2 Char"/>
    <w:basedOn w:val="a0"/>
    <w:link w:val="2"/>
    <w:uiPriority w:val="9"/>
    <w:semiHidden/>
    <w:rsid w:val="00B32B5E"/>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707</Characters>
  <Application>Microsoft Office Word</Application>
  <DocSecurity>0</DocSecurity>
  <Lines>5</Lines>
  <Paragraphs>1</Paragraphs>
  <ScaleCrop>false</ScaleCrop>
  <Company>china</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2016-08-31T07:07:00Z</dcterms:created>
  <dcterms:modified xsi:type="dcterms:W3CDTF">2016-08-31T07:07:00Z</dcterms:modified>
</cp:coreProperties>
</file>